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A5" w:rsidRPr="00407AB0" w:rsidRDefault="005A3AA5" w:rsidP="005A3AA5">
      <w:pPr>
        <w:pStyle w:val="Header"/>
        <w:rPr>
          <w:rFonts w:ascii="Times New Roman" w:hAnsi="Times New Roman"/>
          <w:sz w:val="20"/>
          <w:szCs w:val="20"/>
          <w:lang w:val="en-US"/>
        </w:rPr>
      </w:pPr>
      <w:r w:rsidRPr="004129FA">
        <w:rPr>
          <w:rFonts w:ascii="Times New Roman" w:hAnsi="Times New Roman"/>
          <w:sz w:val="20"/>
          <w:szCs w:val="20"/>
        </w:rPr>
        <w:t>Indian Journal of Basic and Applied Medical Research; December 20</w:t>
      </w:r>
      <w:r>
        <w:rPr>
          <w:rFonts w:ascii="Times New Roman" w:hAnsi="Times New Roman"/>
          <w:sz w:val="20"/>
          <w:szCs w:val="20"/>
        </w:rPr>
        <w:t>15: Vol.-5, Issue- 1, P. 7</w:t>
      </w:r>
      <w:r>
        <w:rPr>
          <w:rFonts w:ascii="Times New Roman" w:hAnsi="Times New Roman"/>
          <w:sz w:val="20"/>
          <w:szCs w:val="20"/>
          <w:lang w:val="en-US"/>
        </w:rPr>
        <w:t>35-742</w:t>
      </w:r>
    </w:p>
    <w:p w:rsidR="005A3AA5" w:rsidRDefault="005A3AA5" w:rsidP="005A3AA5">
      <w:pPr>
        <w:pStyle w:val="Header"/>
      </w:pPr>
    </w:p>
    <w:p w:rsidR="005A3AA5" w:rsidRPr="001316A1" w:rsidRDefault="005A3AA5" w:rsidP="005A3AA5">
      <w:pPr>
        <w:pStyle w:val="Header"/>
        <w:spacing w:line="360" w:lineRule="auto"/>
        <w:jc w:val="both"/>
        <w:rPr>
          <w:rFonts w:ascii="Cambria" w:hAnsi="Cambria"/>
          <w:b/>
          <w:sz w:val="24"/>
          <w:szCs w:val="24"/>
          <w:lang w:val="en-US"/>
        </w:rPr>
      </w:pPr>
      <w:r w:rsidRPr="001316A1">
        <w:rPr>
          <w:rFonts w:ascii="Cambria" w:hAnsi="Cambria"/>
          <w:b/>
          <w:sz w:val="24"/>
          <w:szCs w:val="24"/>
          <w:highlight w:val="lightGray"/>
          <w:lang w:val="en-US"/>
        </w:rPr>
        <w:t>Original article:</w:t>
      </w:r>
    </w:p>
    <w:p w:rsidR="005A3AA5" w:rsidRPr="001316A1" w:rsidRDefault="005A3AA5" w:rsidP="005A3AA5">
      <w:pPr>
        <w:pStyle w:val="Header"/>
        <w:spacing w:line="360" w:lineRule="auto"/>
        <w:jc w:val="both"/>
        <w:rPr>
          <w:rFonts w:ascii="Cambria" w:hAnsi="Cambria"/>
          <w:b/>
          <w:color w:val="1F497D" w:themeColor="text2"/>
          <w:sz w:val="28"/>
          <w:szCs w:val="28"/>
          <w:lang w:val="en-US"/>
        </w:rPr>
      </w:pPr>
      <w:r w:rsidRPr="001316A1">
        <w:rPr>
          <w:rFonts w:ascii="Cambria" w:hAnsi="Cambria"/>
          <w:b/>
          <w:color w:val="1F497D" w:themeColor="text2"/>
          <w:sz w:val="28"/>
          <w:szCs w:val="28"/>
          <w:lang w:val="en-US"/>
        </w:rPr>
        <w:t>Study of nutritional intervention and assessment in surgical patient</w:t>
      </w:r>
    </w:p>
    <w:p w:rsidR="005A3AA5" w:rsidRDefault="005A3AA5" w:rsidP="005A3AA5">
      <w:pPr>
        <w:spacing w:after="0" w:line="360" w:lineRule="auto"/>
        <w:jc w:val="both"/>
        <w:rPr>
          <w:rFonts w:ascii="Cambria" w:hAnsi="Cambria"/>
          <w:b/>
          <w:color w:val="000000"/>
          <w:sz w:val="20"/>
          <w:szCs w:val="20"/>
          <w:lang w:val="en-US"/>
        </w:rPr>
      </w:pPr>
      <w:r w:rsidRPr="001316A1">
        <w:rPr>
          <w:rFonts w:ascii="Cambria" w:hAnsi="Cambria"/>
          <w:b/>
          <w:color w:val="000000"/>
          <w:sz w:val="20"/>
          <w:szCs w:val="20"/>
          <w:vertAlign w:val="superscript"/>
          <w:lang w:val="en-US"/>
        </w:rPr>
        <w:t>1</w:t>
      </w:r>
      <w:r w:rsidRPr="001316A1">
        <w:rPr>
          <w:rFonts w:ascii="Cambria" w:hAnsi="Cambria"/>
          <w:b/>
          <w:color w:val="000000"/>
          <w:sz w:val="20"/>
          <w:szCs w:val="20"/>
          <w:lang w:val="en-US"/>
        </w:rPr>
        <w:t xml:space="preserve">Dr. </w:t>
      </w:r>
      <w:proofErr w:type="spellStart"/>
      <w:r w:rsidRPr="001316A1">
        <w:rPr>
          <w:rFonts w:ascii="Cambria" w:hAnsi="Cambria"/>
          <w:b/>
          <w:color w:val="000000"/>
          <w:sz w:val="20"/>
          <w:szCs w:val="20"/>
          <w:lang w:val="en-US"/>
        </w:rPr>
        <w:t>Sameer</w:t>
      </w:r>
      <w:proofErr w:type="spellEnd"/>
      <w:r w:rsidRPr="001316A1">
        <w:rPr>
          <w:rFonts w:ascii="Cambria" w:hAnsi="Cambria"/>
          <w:b/>
          <w:color w:val="000000"/>
          <w:sz w:val="20"/>
          <w:szCs w:val="20"/>
          <w:lang w:val="en-US"/>
        </w:rPr>
        <w:t xml:space="preserve"> </w:t>
      </w:r>
      <w:proofErr w:type="gramStart"/>
      <w:r w:rsidRPr="001316A1">
        <w:rPr>
          <w:rFonts w:ascii="Cambria" w:hAnsi="Cambria"/>
          <w:b/>
          <w:color w:val="000000"/>
          <w:sz w:val="20"/>
          <w:szCs w:val="20"/>
          <w:lang w:val="en-US"/>
        </w:rPr>
        <w:t>Gupta ,</w:t>
      </w:r>
      <w:proofErr w:type="gramEnd"/>
      <w:r w:rsidRPr="001316A1">
        <w:rPr>
          <w:rFonts w:ascii="Cambria" w:hAnsi="Cambria"/>
          <w:b/>
          <w:color w:val="000000"/>
          <w:sz w:val="20"/>
          <w:szCs w:val="20"/>
          <w:lang w:val="en-US"/>
        </w:rPr>
        <w:t xml:space="preserve"> </w:t>
      </w:r>
      <w:r w:rsidRPr="001316A1">
        <w:rPr>
          <w:rFonts w:ascii="Cambria" w:hAnsi="Cambria"/>
          <w:b/>
          <w:color w:val="000000"/>
          <w:sz w:val="20"/>
          <w:szCs w:val="20"/>
          <w:vertAlign w:val="superscript"/>
          <w:lang w:val="en-US"/>
        </w:rPr>
        <w:t>2</w:t>
      </w:r>
      <w:r w:rsidRPr="001316A1">
        <w:rPr>
          <w:rFonts w:ascii="Cambria" w:hAnsi="Cambria"/>
          <w:b/>
          <w:color w:val="000000"/>
          <w:sz w:val="20"/>
          <w:szCs w:val="20"/>
          <w:lang w:val="en-US"/>
        </w:rPr>
        <w:t xml:space="preserve">Dr. </w:t>
      </w:r>
      <w:proofErr w:type="spellStart"/>
      <w:r w:rsidRPr="001316A1">
        <w:rPr>
          <w:rFonts w:ascii="Cambria" w:hAnsi="Cambria"/>
          <w:b/>
          <w:color w:val="000000"/>
          <w:sz w:val="20"/>
          <w:szCs w:val="20"/>
          <w:lang w:val="en-US"/>
        </w:rPr>
        <w:t>Sanjeev</w:t>
      </w:r>
      <w:proofErr w:type="spellEnd"/>
      <w:r w:rsidRPr="001316A1">
        <w:rPr>
          <w:rFonts w:ascii="Cambria" w:hAnsi="Cambria"/>
          <w:b/>
          <w:color w:val="000000"/>
          <w:sz w:val="20"/>
          <w:szCs w:val="20"/>
          <w:lang w:val="en-US"/>
        </w:rPr>
        <w:t xml:space="preserve"> </w:t>
      </w:r>
      <w:proofErr w:type="spellStart"/>
      <w:r w:rsidRPr="001316A1">
        <w:rPr>
          <w:rFonts w:ascii="Cambria" w:hAnsi="Cambria"/>
          <w:b/>
          <w:color w:val="000000"/>
          <w:sz w:val="20"/>
          <w:szCs w:val="20"/>
          <w:lang w:val="en-US"/>
        </w:rPr>
        <w:t>Attry</w:t>
      </w:r>
      <w:proofErr w:type="spellEnd"/>
      <w:r w:rsidRPr="001316A1">
        <w:rPr>
          <w:rFonts w:ascii="Cambria" w:hAnsi="Cambria"/>
          <w:b/>
          <w:color w:val="000000"/>
          <w:sz w:val="20"/>
          <w:szCs w:val="20"/>
          <w:lang w:val="en-US"/>
        </w:rPr>
        <w:t xml:space="preserve"> , </w:t>
      </w:r>
      <w:r w:rsidRPr="001316A1">
        <w:rPr>
          <w:rFonts w:ascii="Cambria" w:hAnsi="Cambria"/>
          <w:b/>
          <w:color w:val="000000"/>
          <w:sz w:val="20"/>
          <w:szCs w:val="20"/>
          <w:vertAlign w:val="superscript"/>
          <w:lang w:val="en-US"/>
        </w:rPr>
        <w:t>3</w:t>
      </w:r>
      <w:r w:rsidRPr="001316A1">
        <w:rPr>
          <w:rFonts w:ascii="Cambria" w:hAnsi="Cambria"/>
          <w:b/>
          <w:color w:val="000000"/>
          <w:sz w:val="20"/>
          <w:szCs w:val="20"/>
          <w:lang w:val="en-US"/>
        </w:rPr>
        <w:t xml:space="preserve">Dr. </w:t>
      </w:r>
      <w:proofErr w:type="spellStart"/>
      <w:r w:rsidRPr="001316A1">
        <w:rPr>
          <w:rFonts w:ascii="Cambria" w:hAnsi="Cambria"/>
          <w:b/>
          <w:color w:val="000000"/>
          <w:sz w:val="20"/>
          <w:szCs w:val="20"/>
          <w:lang w:val="en-US"/>
        </w:rPr>
        <w:t>Kushal</w:t>
      </w:r>
      <w:proofErr w:type="spellEnd"/>
      <w:r w:rsidRPr="001316A1">
        <w:rPr>
          <w:rFonts w:ascii="Cambria" w:hAnsi="Cambria"/>
          <w:b/>
          <w:color w:val="000000"/>
          <w:sz w:val="20"/>
          <w:szCs w:val="20"/>
          <w:lang w:val="en-US"/>
        </w:rPr>
        <w:t xml:space="preserve"> </w:t>
      </w:r>
      <w:proofErr w:type="spellStart"/>
      <w:r w:rsidRPr="001316A1">
        <w:rPr>
          <w:rFonts w:ascii="Cambria" w:hAnsi="Cambria"/>
          <w:b/>
          <w:color w:val="000000"/>
          <w:sz w:val="20"/>
          <w:szCs w:val="20"/>
          <w:lang w:val="en-US"/>
        </w:rPr>
        <w:t>Monga</w:t>
      </w:r>
      <w:proofErr w:type="spellEnd"/>
      <w:r w:rsidRPr="001316A1">
        <w:rPr>
          <w:rFonts w:ascii="Cambria" w:hAnsi="Cambria"/>
          <w:b/>
          <w:color w:val="000000"/>
          <w:sz w:val="20"/>
          <w:szCs w:val="20"/>
          <w:lang w:val="en-US"/>
        </w:rPr>
        <w:t xml:space="preserve"> , </w:t>
      </w:r>
      <w:r w:rsidRPr="001316A1">
        <w:rPr>
          <w:rFonts w:ascii="Cambria" w:hAnsi="Cambria"/>
          <w:b/>
          <w:color w:val="000000"/>
          <w:sz w:val="20"/>
          <w:szCs w:val="20"/>
          <w:vertAlign w:val="superscript"/>
          <w:lang w:val="en-US"/>
        </w:rPr>
        <w:t>4</w:t>
      </w:r>
      <w:r w:rsidRPr="001316A1">
        <w:rPr>
          <w:rFonts w:ascii="Cambria" w:hAnsi="Cambria"/>
          <w:b/>
          <w:color w:val="000000"/>
          <w:sz w:val="20"/>
          <w:szCs w:val="20"/>
          <w:lang w:val="en-US"/>
        </w:rPr>
        <w:t xml:space="preserve">Dr. Karan </w:t>
      </w:r>
      <w:proofErr w:type="spellStart"/>
      <w:r w:rsidRPr="001316A1">
        <w:rPr>
          <w:rFonts w:ascii="Cambria" w:hAnsi="Cambria"/>
          <w:b/>
          <w:color w:val="000000"/>
          <w:sz w:val="20"/>
          <w:szCs w:val="20"/>
          <w:lang w:val="en-US"/>
        </w:rPr>
        <w:t>Marwah</w:t>
      </w:r>
      <w:proofErr w:type="spellEnd"/>
    </w:p>
    <w:p w:rsidR="005A3AA5" w:rsidRPr="001316A1" w:rsidRDefault="005A3AA5" w:rsidP="005A3AA5">
      <w:pPr>
        <w:spacing w:after="0" w:line="360" w:lineRule="auto"/>
        <w:jc w:val="both"/>
        <w:rPr>
          <w:rFonts w:ascii="Cambria" w:hAnsi="Cambria"/>
          <w:b/>
          <w:color w:val="000000"/>
          <w:sz w:val="20"/>
          <w:szCs w:val="20"/>
          <w:lang w:val="en-US"/>
        </w:rPr>
      </w:pPr>
    </w:p>
    <w:p w:rsidR="005A3AA5" w:rsidRPr="001316A1" w:rsidRDefault="005A3AA5" w:rsidP="005A3AA5">
      <w:pPr>
        <w:spacing w:after="0" w:line="360" w:lineRule="auto"/>
        <w:jc w:val="both"/>
        <w:rPr>
          <w:rFonts w:ascii="Cambria" w:hAnsi="Cambria"/>
          <w:color w:val="000000"/>
          <w:sz w:val="18"/>
          <w:szCs w:val="18"/>
          <w:lang w:val="en-US"/>
        </w:rPr>
      </w:pPr>
      <w:r w:rsidRPr="001316A1">
        <w:rPr>
          <w:rFonts w:ascii="Cambria" w:hAnsi="Cambria"/>
          <w:color w:val="000000"/>
          <w:sz w:val="18"/>
          <w:szCs w:val="18"/>
          <w:vertAlign w:val="superscript"/>
          <w:lang w:val="en-US"/>
        </w:rPr>
        <w:t>1</w:t>
      </w:r>
      <w:r w:rsidRPr="001316A1">
        <w:rPr>
          <w:rFonts w:ascii="Cambria" w:hAnsi="Cambria"/>
          <w:color w:val="000000"/>
          <w:sz w:val="18"/>
          <w:szCs w:val="18"/>
          <w:lang w:val="en-US"/>
        </w:rPr>
        <w:t xml:space="preserve">1III year </w:t>
      </w:r>
      <w:proofErr w:type="gramStart"/>
      <w:r w:rsidRPr="001316A1">
        <w:rPr>
          <w:rFonts w:ascii="Cambria" w:hAnsi="Cambria"/>
          <w:color w:val="000000"/>
          <w:sz w:val="18"/>
          <w:szCs w:val="18"/>
          <w:lang w:val="en-US"/>
        </w:rPr>
        <w:t>resident ,</w:t>
      </w:r>
      <w:proofErr w:type="gramEnd"/>
      <w:r w:rsidRPr="001316A1">
        <w:rPr>
          <w:rFonts w:ascii="Cambria" w:hAnsi="Cambria"/>
          <w:color w:val="000000"/>
          <w:sz w:val="18"/>
          <w:szCs w:val="18"/>
          <w:lang w:val="en-US"/>
        </w:rPr>
        <w:t xml:space="preserve"> department of general surgery  NIMS hospital and medical college , </w:t>
      </w:r>
      <w:proofErr w:type="spellStart"/>
      <w:r w:rsidRPr="001316A1">
        <w:rPr>
          <w:rFonts w:ascii="Cambria" w:hAnsi="Cambria"/>
          <w:color w:val="000000"/>
          <w:sz w:val="18"/>
          <w:szCs w:val="18"/>
          <w:lang w:val="en-US"/>
        </w:rPr>
        <w:t>Jaipur</w:t>
      </w:r>
      <w:proofErr w:type="spellEnd"/>
    </w:p>
    <w:p w:rsidR="005A3AA5" w:rsidRPr="001316A1" w:rsidRDefault="005A3AA5" w:rsidP="005A3AA5">
      <w:pPr>
        <w:spacing w:after="0" w:line="360" w:lineRule="auto"/>
        <w:jc w:val="both"/>
        <w:rPr>
          <w:rFonts w:ascii="Cambria" w:hAnsi="Cambria"/>
          <w:color w:val="000000"/>
          <w:sz w:val="18"/>
          <w:szCs w:val="18"/>
          <w:lang w:val="en-US"/>
        </w:rPr>
      </w:pPr>
      <w:r w:rsidRPr="001316A1">
        <w:rPr>
          <w:rFonts w:ascii="Cambria" w:hAnsi="Cambria"/>
          <w:color w:val="000000"/>
          <w:sz w:val="18"/>
          <w:szCs w:val="18"/>
          <w:vertAlign w:val="superscript"/>
          <w:lang w:val="en-US"/>
        </w:rPr>
        <w:t>2</w:t>
      </w:r>
      <w:r w:rsidRPr="001316A1">
        <w:rPr>
          <w:rFonts w:ascii="Cambria" w:hAnsi="Cambria"/>
          <w:color w:val="000000"/>
          <w:sz w:val="18"/>
          <w:szCs w:val="18"/>
          <w:lang w:val="en-US"/>
        </w:rPr>
        <w:t xml:space="preserve">Assistant professor, department of neurosurgery, </w:t>
      </w:r>
      <w:proofErr w:type="gramStart"/>
      <w:r w:rsidRPr="001316A1">
        <w:rPr>
          <w:rFonts w:ascii="Cambria" w:hAnsi="Cambria"/>
          <w:color w:val="000000"/>
          <w:sz w:val="18"/>
          <w:szCs w:val="18"/>
          <w:lang w:val="en-US"/>
        </w:rPr>
        <w:t>NIMS</w:t>
      </w:r>
      <w:proofErr w:type="gramEnd"/>
      <w:r w:rsidRPr="001316A1">
        <w:rPr>
          <w:rFonts w:ascii="Cambria" w:hAnsi="Cambria"/>
          <w:color w:val="000000"/>
          <w:sz w:val="18"/>
          <w:szCs w:val="18"/>
          <w:lang w:val="en-US"/>
        </w:rPr>
        <w:t xml:space="preserve"> medical College and hospital, </w:t>
      </w:r>
      <w:proofErr w:type="spellStart"/>
      <w:r w:rsidRPr="001316A1">
        <w:rPr>
          <w:rFonts w:ascii="Cambria" w:hAnsi="Cambria"/>
          <w:color w:val="000000"/>
          <w:sz w:val="18"/>
          <w:szCs w:val="18"/>
          <w:lang w:val="en-US"/>
        </w:rPr>
        <w:t>jaipur</w:t>
      </w:r>
      <w:proofErr w:type="spellEnd"/>
    </w:p>
    <w:p w:rsidR="005A3AA5" w:rsidRPr="001316A1" w:rsidRDefault="005A3AA5" w:rsidP="005A3AA5">
      <w:pPr>
        <w:spacing w:after="0" w:line="360" w:lineRule="auto"/>
        <w:jc w:val="both"/>
        <w:rPr>
          <w:rFonts w:ascii="Cambria" w:hAnsi="Cambria"/>
          <w:color w:val="000000"/>
          <w:sz w:val="18"/>
          <w:szCs w:val="18"/>
          <w:lang w:val="en-US"/>
        </w:rPr>
      </w:pPr>
      <w:r w:rsidRPr="001316A1">
        <w:rPr>
          <w:rFonts w:ascii="Cambria" w:hAnsi="Cambria"/>
          <w:color w:val="000000"/>
          <w:sz w:val="18"/>
          <w:szCs w:val="18"/>
          <w:vertAlign w:val="superscript"/>
          <w:lang w:val="en-US"/>
        </w:rPr>
        <w:t>3</w:t>
      </w:r>
      <w:r w:rsidRPr="001316A1">
        <w:rPr>
          <w:rFonts w:ascii="Cambria" w:hAnsi="Cambria"/>
          <w:color w:val="000000"/>
          <w:sz w:val="18"/>
          <w:szCs w:val="18"/>
          <w:lang w:val="en-US"/>
        </w:rPr>
        <w:t xml:space="preserve">III year resident, department of general surgery, NIMS hospital and medical </w:t>
      </w:r>
      <w:proofErr w:type="gramStart"/>
      <w:r w:rsidRPr="001316A1">
        <w:rPr>
          <w:rFonts w:ascii="Cambria" w:hAnsi="Cambria"/>
          <w:color w:val="000000"/>
          <w:sz w:val="18"/>
          <w:szCs w:val="18"/>
          <w:lang w:val="en-US"/>
        </w:rPr>
        <w:t>college ,</w:t>
      </w:r>
      <w:proofErr w:type="gramEnd"/>
      <w:r w:rsidRPr="001316A1">
        <w:rPr>
          <w:rFonts w:ascii="Cambria" w:hAnsi="Cambria"/>
          <w:color w:val="000000"/>
          <w:sz w:val="18"/>
          <w:szCs w:val="18"/>
          <w:lang w:val="en-US"/>
        </w:rPr>
        <w:t xml:space="preserve"> </w:t>
      </w:r>
      <w:proofErr w:type="spellStart"/>
      <w:r w:rsidRPr="001316A1">
        <w:rPr>
          <w:rFonts w:ascii="Cambria" w:hAnsi="Cambria"/>
          <w:color w:val="000000"/>
          <w:sz w:val="18"/>
          <w:szCs w:val="18"/>
          <w:lang w:val="en-US"/>
        </w:rPr>
        <w:t>Jaipur</w:t>
      </w:r>
      <w:proofErr w:type="spellEnd"/>
    </w:p>
    <w:p w:rsidR="005A3AA5" w:rsidRPr="001316A1" w:rsidRDefault="005A3AA5" w:rsidP="005A3AA5">
      <w:pPr>
        <w:spacing w:after="0" w:line="360" w:lineRule="auto"/>
        <w:jc w:val="both"/>
        <w:rPr>
          <w:rFonts w:ascii="Cambria" w:hAnsi="Cambria"/>
          <w:color w:val="000000"/>
          <w:sz w:val="18"/>
          <w:szCs w:val="18"/>
          <w:lang w:val="en-US"/>
        </w:rPr>
      </w:pPr>
      <w:r w:rsidRPr="001316A1">
        <w:rPr>
          <w:rFonts w:ascii="Cambria" w:hAnsi="Cambria"/>
          <w:color w:val="000000"/>
          <w:sz w:val="18"/>
          <w:szCs w:val="18"/>
          <w:vertAlign w:val="superscript"/>
          <w:lang w:val="en-US"/>
        </w:rPr>
        <w:t>4</w:t>
      </w:r>
      <w:r w:rsidRPr="001316A1">
        <w:rPr>
          <w:rFonts w:ascii="Cambria" w:hAnsi="Cambria"/>
          <w:color w:val="000000"/>
          <w:sz w:val="18"/>
          <w:szCs w:val="18"/>
          <w:lang w:val="en-US"/>
        </w:rPr>
        <w:t xml:space="preserve">Resident, department of neurosurgery, NIMS hospital and medical </w:t>
      </w:r>
      <w:proofErr w:type="gramStart"/>
      <w:r w:rsidRPr="001316A1">
        <w:rPr>
          <w:rFonts w:ascii="Cambria" w:hAnsi="Cambria"/>
          <w:color w:val="000000"/>
          <w:sz w:val="18"/>
          <w:szCs w:val="18"/>
          <w:lang w:val="en-US"/>
        </w:rPr>
        <w:t>college ,</w:t>
      </w:r>
      <w:proofErr w:type="gramEnd"/>
      <w:r w:rsidRPr="001316A1">
        <w:rPr>
          <w:rFonts w:ascii="Cambria" w:hAnsi="Cambria"/>
          <w:color w:val="000000"/>
          <w:sz w:val="18"/>
          <w:szCs w:val="18"/>
          <w:lang w:val="en-US"/>
        </w:rPr>
        <w:t xml:space="preserve"> </w:t>
      </w:r>
      <w:proofErr w:type="spellStart"/>
      <w:r w:rsidRPr="001316A1">
        <w:rPr>
          <w:rFonts w:ascii="Cambria" w:hAnsi="Cambria"/>
          <w:color w:val="000000"/>
          <w:sz w:val="18"/>
          <w:szCs w:val="18"/>
          <w:lang w:val="en-US"/>
        </w:rPr>
        <w:t>Jaipur</w:t>
      </w:r>
      <w:proofErr w:type="spellEnd"/>
    </w:p>
    <w:p w:rsidR="005A3AA5" w:rsidRPr="001316A1" w:rsidRDefault="005A3AA5" w:rsidP="005A3AA5">
      <w:pPr>
        <w:pBdr>
          <w:bottom w:val="single" w:sz="6" w:space="1" w:color="auto"/>
        </w:pBdr>
        <w:spacing w:after="0" w:line="360" w:lineRule="auto"/>
        <w:jc w:val="both"/>
        <w:rPr>
          <w:rFonts w:ascii="Cambria" w:hAnsi="Cambria"/>
          <w:color w:val="000000"/>
          <w:sz w:val="18"/>
          <w:szCs w:val="18"/>
          <w:lang w:val="en-US"/>
        </w:rPr>
      </w:pPr>
      <w:r w:rsidRPr="001316A1">
        <w:rPr>
          <w:rFonts w:ascii="Cambria" w:hAnsi="Cambria"/>
          <w:color w:val="000000"/>
          <w:sz w:val="18"/>
          <w:szCs w:val="18"/>
          <w:lang w:val="en-US"/>
        </w:rPr>
        <w:t xml:space="preserve">Corresponding </w:t>
      </w:r>
      <w:proofErr w:type="gramStart"/>
      <w:r w:rsidRPr="001316A1">
        <w:rPr>
          <w:rFonts w:ascii="Cambria" w:hAnsi="Cambria"/>
          <w:color w:val="000000"/>
          <w:sz w:val="18"/>
          <w:szCs w:val="18"/>
          <w:lang w:val="en-US"/>
        </w:rPr>
        <w:t>author :</w:t>
      </w:r>
      <w:proofErr w:type="gramEnd"/>
      <w:r w:rsidRPr="001316A1">
        <w:rPr>
          <w:rFonts w:ascii="Cambria" w:hAnsi="Cambria"/>
          <w:color w:val="000000"/>
          <w:sz w:val="18"/>
          <w:szCs w:val="18"/>
          <w:lang w:val="en-US"/>
        </w:rPr>
        <w:t xml:space="preserve"> Dr. </w:t>
      </w:r>
      <w:proofErr w:type="spellStart"/>
      <w:r w:rsidRPr="001316A1">
        <w:rPr>
          <w:rFonts w:ascii="Cambria" w:hAnsi="Cambria"/>
          <w:color w:val="000000"/>
          <w:sz w:val="18"/>
          <w:szCs w:val="18"/>
          <w:lang w:val="en-US"/>
        </w:rPr>
        <w:t>Sameer</w:t>
      </w:r>
      <w:proofErr w:type="spellEnd"/>
      <w:r w:rsidRPr="001316A1">
        <w:rPr>
          <w:rFonts w:ascii="Cambria" w:hAnsi="Cambria"/>
          <w:color w:val="000000"/>
          <w:sz w:val="18"/>
          <w:szCs w:val="18"/>
          <w:lang w:val="en-US"/>
        </w:rPr>
        <w:t xml:space="preserve"> Gupta</w:t>
      </w:r>
    </w:p>
    <w:p w:rsidR="005A3AA5" w:rsidRPr="001316A1" w:rsidRDefault="005A3AA5" w:rsidP="005A3AA5">
      <w:pPr>
        <w:spacing w:after="0" w:line="360" w:lineRule="auto"/>
        <w:jc w:val="both"/>
        <w:rPr>
          <w:rFonts w:ascii="Cambria" w:hAnsi="Cambria"/>
          <w:color w:val="000000"/>
          <w:sz w:val="20"/>
          <w:szCs w:val="20"/>
          <w:lang w:val="en-US"/>
        </w:rPr>
      </w:pPr>
    </w:p>
    <w:p w:rsidR="005A3AA5" w:rsidRPr="001316A1" w:rsidRDefault="005A3AA5" w:rsidP="005A3AA5">
      <w:pPr>
        <w:spacing w:after="0" w:line="360" w:lineRule="auto"/>
        <w:rPr>
          <w:rFonts w:ascii="Times New Roman" w:hAnsi="Times New Roman"/>
          <w:b/>
          <w:sz w:val="20"/>
          <w:szCs w:val="20"/>
          <w:lang w:val="en-US"/>
        </w:rPr>
      </w:pPr>
      <w:r w:rsidRPr="001316A1">
        <w:rPr>
          <w:rFonts w:ascii="Times New Roman" w:hAnsi="Times New Roman"/>
          <w:b/>
          <w:sz w:val="20"/>
          <w:szCs w:val="20"/>
        </w:rPr>
        <w:t>Abstract</w:t>
      </w:r>
    </w:p>
    <w:p w:rsidR="005A3AA5" w:rsidRPr="00D21249" w:rsidRDefault="005A3AA5" w:rsidP="005A3AA5">
      <w:pPr>
        <w:spacing w:after="0" w:line="360" w:lineRule="auto"/>
        <w:jc w:val="both"/>
        <w:rPr>
          <w:rFonts w:ascii="Times New Roman" w:hAnsi="Times New Roman"/>
          <w:sz w:val="20"/>
          <w:szCs w:val="20"/>
        </w:rPr>
      </w:pPr>
      <w:r>
        <w:rPr>
          <w:rFonts w:ascii="Times New Roman" w:hAnsi="Times New Roman"/>
          <w:color w:val="000000"/>
          <w:sz w:val="20"/>
          <w:szCs w:val="20"/>
          <w:lang w:val="en-US"/>
        </w:rPr>
        <w:t xml:space="preserve">Introduction: </w:t>
      </w:r>
      <w:r w:rsidRPr="00D21249">
        <w:rPr>
          <w:rFonts w:ascii="Times New Roman" w:hAnsi="Times New Roman"/>
          <w:color w:val="000000"/>
          <w:sz w:val="20"/>
          <w:szCs w:val="20"/>
        </w:rPr>
        <w:t>The philosophy of nutritional support in the surgical patient has evolved greatly over the past two to three decades. Whereas dextrose-containing intravenous fluids or waiting until a patient was able to take an oral diet was considered adequate in years past, early aggressive nutritional support within the first 12-24 hours post-injury is now recognized as being</w:t>
      </w:r>
      <w:r w:rsidRPr="00D21249">
        <w:rPr>
          <w:rFonts w:ascii="Times New Roman" w:hAnsi="Times New Roman"/>
          <w:color w:val="000000"/>
          <w:sz w:val="20"/>
          <w:szCs w:val="20"/>
          <w:lang w:val="en-US"/>
        </w:rPr>
        <w:t xml:space="preserve"> </w:t>
      </w:r>
      <w:r w:rsidRPr="00D21249">
        <w:rPr>
          <w:rFonts w:ascii="Times New Roman" w:hAnsi="Times New Roman"/>
          <w:color w:val="000000"/>
          <w:sz w:val="20"/>
          <w:szCs w:val="20"/>
        </w:rPr>
        <w:t>essential to improving patient outcome. There is no uniform consensus on a reliable nutritional assessment method.</w:t>
      </w:r>
      <w:r w:rsidRPr="00D21249">
        <w:rPr>
          <w:rFonts w:ascii="Times New Roman" w:hAnsi="Times New Roman"/>
          <w:color w:val="000000"/>
          <w:sz w:val="20"/>
          <w:szCs w:val="20"/>
          <w:lang w:val="en-US"/>
        </w:rPr>
        <w:t xml:space="preserve"> </w:t>
      </w:r>
      <w:r w:rsidRPr="00D21249">
        <w:rPr>
          <w:rFonts w:ascii="Times New Roman" w:hAnsi="Times New Roman"/>
          <w:color w:val="000000"/>
          <w:sz w:val="20"/>
          <w:szCs w:val="20"/>
        </w:rPr>
        <w:t>This study attempts to integrate nutritional evaluation</w:t>
      </w:r>
      <w:r w:rsidRPr="00D21249">
        <w:rPr>
          <w:rFonts w:ascii="Times New Roman" w:hAnsi="Times New Roman"/>
          <w:color w:val="000000"/>
          <w:sz w:val="20"/>
          <w:szCs w:val="20"/>
          <w:lang w:val="en-US"/>
        </w:rPr>
        <w:t xml:space="preserve"> with </w:t>
      </w:r>
      <w:r w:rsidRPr="00D21249">
        <w:rPr>
          <w:rFonts w:ascii="Times New Roman" w:hAnsi="Times New Roman"/>
          <w:color w:val="000000"/>
          <w:sz w:val="20"/>
          <w:szCs w:val="20"/>
        </w:rPr>
        <w:t>appropriate interventional techniques to achieve optimal outcomes in patients undergoing treatment for surgical illnesses.</w:t>
      </w:r>
      <w:r w:rsidRPr="00D21249">
        <w:rPr>
          <w:rFonts w:ascii="Times New Roman" w:hAnsi="Times New Roman"/>
          <w:sz w:val="20"/>
          <w:szCs w:val="20"/>
        </w:rPr>
        <w:t xml:space="preserve"> Aims- </w:t>
      </w:r>
      <w:r w:rsidRPr="00D21249">
        <w:rPr>
          <w:rFonts w:ascii="Times New Roman" w:hAnsi="Times New Roman"/>
          <w:color w:val="000000"/>
          <w:sz w:val="20"/>
          <w:szCs w:val="20"/>
        </w:rPr>
        <w:t>To assess the various modes of nutritional intervention and to identify the best way of nutritional intervention and evaluate their outcomes regards to nutrition.</w:t>
      </w:r>
    </w:p>
    <w:p w:rsidR="005A3AA5" w:rsidRPr="00D21249" w:rsidRDefault="005A3AA5" w:rsidP="005A3AA5">
      <w:pPr>
        <w:spacing w:after="0" w:line="360" w:lineRule="auto"/>
        <w:jc w:val="both"/>
        <w:rPr>
          <w:rFonts w:ascii="Times New Roman" w:hAnsi="Times New Roman"/>
          <w:color w:val="000000"/>
          <w:sz w:val="20"/>
          <w:szCs w:val="20"/>
        </w:rPr>
      </w:pPr>
      <w:r>
        <w:rPr>
          <w:rFonts w:ascii="Times New Roman" w:hAnsi="Times New Roman"/>
          <w:color w:val="000000"/>
          <w:sz w:val="20"/>
          <w:szCs w:val="20"/>
          <w:lang w:val="en-US"/>
        </w:rPr>
        <w:t xml:space="preserve">Methodology: </w:t>
      </w:r>
      <w:r w:rsidRPr="00D21249">
        <w:rPr>
          <w:rFonts w:ascii="Times New Roman" w:hAnsi="Times New Roman"/>
          <w:color w:val="000000"/>
          <w:sz w:val="20"/>
          <w:szCs w:val="20"/>
        </w:rPr>
        <w:t xml:space="preserve">There were 38% of patients in </w:t>
      </w:r>
      <w:r w:rsidRPr="00D21249">
        <w:rPr>
          <w:rFonts w:ascii="Times New Roman" w:hAnsi="Times New Roman"/>
          <w:b/>
          <w:bCs/>
          <w:color w:val="000000"/>
          <w:sz w:val="20"/>
          <w:szCs w:val="20"/>
        </w:rPr>
        <w:t>Type Ia</w:t>
      </w:r>
      <w:r w:rsidRPr="00D21249">
        <w:rPr>
          <w:rFonts w:ascii="Times New Roman" w:hAnsi="Times New Roman"/>
          <w:color w:val="000000"/>
          <w:sz w:val="20"/>
          <w:szCs w:val="20"/>
        </w:rPr>
        <w:t xml:space="preserve"> nutritional intervention group who received parenteral supportive therapy in addition to enteral feeds and they stayed for 15 days in the hospital on an average. Another 38% of patients with the same length of hospital stay were in group </w:t>
      </w:r>
      <w:r w:rsidRPr="00D21249">
        <w:rPr>
          <w:rFonts w:ascii="Times New Roman" w:hAnsi="Times New Roman"/>
          <w:b/>
          <w:color w:val="000000"/>
          <w:sz w:val="20"/>
          <w:szCs w:val="20"/>
        </w:rPr>
        <w:t>Type lb</w:t>
      </w:r>
      <w:r w:rsidRPr="00D21249">
        <w:rPr>
          <w:rFonts w:ascii="Times New Roman" w:hAnsi="Times New Roman"/>
          <w:color w:val="000000"/>
          <w:sz w:val="20"/>
          <w:szCs w:val="20"/>
        </w:rPr>
        <w:t xml:space="preserve"> —requiring forced oral feeds through tubes. </w:t>
      </w:r>
      <w:r w:rsidRPr="00D21249">
        <w:rPr>
          <w:rFonts w:ascii="Times New Roman" w:hAnsi="Times New Roman"/>
          <w:b/>
          <w:color w:val="000000"/>
          <w:sz w:val="20"/>
          <w:szCs w:val="20"/>
        </w:rPr>
        <w:t>Type II</w:t>
      </w:r>
      <w:r w:rsidRPr="00D21249">
        <w:rPr>
          <w:rFonts w:ascii="Times New Roman" w:hAnsi="Times New Roman"/>
          <w:color w:val="000000"/>
          <w:sz w:val="20"/>
          <w:szCs w:val="20"/>
        </w:rPr>
        <w:t xml:space="preserve"> patients receiving total parenteral nutrition were 24% of them with an average stay of 13</w:t>
      </w:r>
      <w:r w:rsidRPr="00D21249">
        <w:rPr>
          <w:rFonts w:ascii="Times New Roman" w:hAnsi="Times New Roman"/>
          <w:color w:val="000000"/>
          <w:sz w:val="20"/>
          <w:szCs w:val="20"/>
          <w:lang w:val="en-US"/>
        </w:rPr>
        <w:t>.25</w:t>
      </w:r>
      <w:r w:rsidRPr="00D21249">
        <w:rPr>
          <w:rFonts w:ascii="Times New Roman" w:hAnsi="Times New Roman"/>
          <w:color w:val="000000"/>
          <w:sz w:val="20"/>
          <w:szCs w:val="20"/>
        </w:rPr>
        <w:t xml:space="preserve"> days. On an average, 42% of patients showed a gain in BMI, 40% recorded a net loss and 18% of them remained stationary</w:t>
      </w:r>
      <w:r w:rsidRPr="00D21249">
        <w:rPr>
          <w:rFonts w:ascii="Times New Roman" w:hAnsi="Times New Roman"/>
          <w:color w:val="000000"/>
          <w:sz w:val="20"/>
          <w:szCs w:val="20"/>
          <w:lang w:val="en-US"/>
        </w:rPr>
        <w:t xml:space="preserve"> and 40% of patient shows gain in</w:t>
      </w:r>
      <w:r w:rsidRPr="00D21249">
        <w:rPr>
          <w:rFonts w:ascii="Times New Roman" w:hAnsi="Times New Roman"/>
          <w:color w:val="000000"/>
          <w:sz w:val="20"/>
          <w:szCs w:val="20"/>
        </w:rPr>
        <w:t xml:space="preserve"> Mid-arm circumference</w:t>
      </w:r>
      <w:r w:rsidRPr="00D21249">
        <w:rPr>
          <w:rFonts w:ascii="Times New Roman" w:hAnsi="Times New Roman"/>
          <w:color w:val="000000"/>
          <w:sz w:val="20"/>
          <w:szCs w:val="20"/>
          <w:lang w:val="en-US"/>
        </w:rPr>
        <w:t xml:space="preserve"> (MAC),34% patient loss and 36% remained stationary </w:t>
      </w:r>
      <w:r w:rsidRPr="00D21249">
        <w:rPr>
          <w:rFonts w:ascii="Times New Roman" w:hAnsi="Times New Roman"/>
          <w:color w:val="000000"/>
          <w:sz w:val="20"/>
          <w:szCs w:val="20"/>
        </w:rPr>
        <w:t xml:space="preserve">during the study period. The ease was different with </w:t>
      </w:r>
      <w:r w:rsidRPr="00D21249">
        <w:rPr>
          <w:rFonts w:ascii="Times New Roman" w:hAnsi="Times New Roman"/>
          <w:color w:val="000000"/>
          <w:sz w:val="20"/>
          <w:szCs w:val="20"/>
          <w:lang w:val="en-US"/>
        </w:rPr>
        <w:t>S</w:t>
      </w:r>
      <w:r w:rsidRPr="00D21249">
        <w:rPr>
          <w:rFonts w:ascii="Times New Roman" w:hAnsi="Times New Roman"/>
          <w:color w:val="000000"/>
          <w:sz w:val="20"/>
          <w:szCs w:val="20"/>
        </w:rPr>
        <w:t xml:space="preserve">r. protein levels  </w:t>
      </w:r>
      <w:r w:rsidRPr="00D21249">
        <w:rPr>
          <w:rFonts w:ascii="Times New Roman" w:hAnsi="Times New Roman"/>
          <w:color w:val="000000"/>
          <w:sz w:val="20"/>
          <w:szCs w:val="20"/>
          <w:lang w:val="en-US"/>
        </w:rPr>
        <w:t>40</w:t>
      </w:r>
      <w:r w:rsidRPr="00D21249">
        <w:rPr>
          <w:rFonts w:ascii="Times New Roman" w:hAnsi="Times New Roman"/>
          <w:color w:val="000000"/>
          <w:sz w:val="20"/>
          <w:szCs w:val="20"/>
        </w:rPr>
        <w:t xml:space="preserve">% showed a net gain, </w:t>
      </w:r>
      <w:r w:rsidRPr="00D21249">
        <w:rPr>
          <w:rFonts w:ascii="Times New Roman" w:hAnsi="Times New Roman"/>
          <w:color w:val="000000"/>
          <w:sz w:val="20"/>
          <w:szCs w:val="20"/>
          <w:lang w:val="en-US"/>
        </w:rPr>
        <w:t>34</w:t>
      </w:r>
      <w:r w:rsidRPr="00D21249">
        <w:rPr>
          <w:rFonts w:ascii="Times New Roman" w:hAnsi="Times New Roman"/>
          <w:color w:val="000000"/>
          <w:sz w:val="20"/>
          <w:szCs w:val="20"/>
        </w:rPr>
        <w:t xml:space="preserve">% a net loss and </w:t>
      </w:r>
      <w:r w:rsidRPr="00D21249">
        <w:rPr>
          <w:rFonts w:ascii="Times New Roman" w:hAnsi="Times New Roman"/>
          <w:color w:val="000000"/>
          <w:sz w:val="20"/>
          <w:szCs w:val="20"/>
          <w:lang w:val="en-US"/>
        </w:rPr>
        <w:t>36</w:t>
      </w:r>
      <w:r w:rsidRPr="00D21249">
        <w:rPr>
          <w:rFonts w:ascii="Times New Roman" w:hAnsi="Times New Roman"/>
          <w:color w:val="000000"/>
          <w:sz w:val="20"/>
          <w:szCs w:val="20"/>
        </w:rPr>
        <w:t xml:space="preserve">% remained stationary. </w:t>
      </w:r>
    </w:p>
    <w:p w:rsidR="005A3AA5" w:rsidRDefault="005A3AA5" w:rsidP="005A3AA5">
      <w:pPr>
        <w:pBdr>
          <w:bottom w:val="single" w:sz="6" w:space="1" w:color="auto"/>
        </w:pBdr>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Results and conclusion: </w:t>
      </w:r>
      <w:r w:rsidRPr="00D21249">
        <w:rPr>
          <w:rFonts w:ascii="Times New Roman" w:hAnsi="Times New Roman"/>
          <w:sz w:val="20"/>
          <w:szCs w:val="20"/>
        </w:rPr>
        <w:t>Nutritional deficiency is very much prevalent among surgical patients irrespective of age, sex and disease conditions, both before and after the surgical procedures. Patients should be categorized according to the needs as to who will perceive enteral or parenteral nutrition. Both these modalities are equally effective when used under appropriate circumstances and for adequate duration. Early introduction of these is also very important. Anthropometry and biochemical parameters are both effective and sufficient to assess the nutritional status of the patients and also to evaluate adequacy of nutritional therapy.</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AA5"/>
    <w:rsid w:val="000061B3"/>
    <w:rsid w:val="0006104F"/>
    <w:rsid w:val="001170B6"/>
    <w:rsid w:val="00274F00"/>
    <w:rsid w:val="004B274B"/>
    <w:rsid w:val="005A3AA5"/>
    <w:rsid w:val="009E591E"/>
    <w:rsid w:val="00A80A54"/>
    <w:rsid w:val="00A83F59"/>
    <w:rsid w:val="00AE3137"/>
    <w:rsid w:val="00B54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A5"/>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A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AA5"/>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2016-02-11T11:00:00Z</dcterms:created>
  <dcterms:modified xsi:type="dcterms:W3CDTF">2016-02-11T11:00:00Z</dcterms:modified>
</cp:coreProperties>
</file>